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1A1153" w14:textId="77777777" w:rsidR="00323502" w:rsidRPr="00633C86" w:rsidRDefault="00323502" w:rsidP="00323502">
      <w:pPr>
        <w:spacing w:line="360" w:lineRule="auto"/>
        <w:rPr>
          <w:rFonts w:ascii="Times New Roman" w:hAnsi="Times New Roman" w:cs="Times New Roman"/>
          <w:lang w:val="en-US"/>
        </w:rPr>
      </w:pPr>
      <w:r w:rsidRPr="00633C8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da-DK"/>
        </w:rPr>
        <w:t>Supplementary materials</w:t>
      </w:r>
      <w:r w:rsidRPr="00633C8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da-DK"/>
        </w:rPr>
        <w:br/>
      </w:r>
      <w:r w:rsidRPr="00633C86">
        <w:rPr>
          <w:rFonts w:ascii="Times New Roman" w:hAnsi="Times New Roman" w:cs="Times New Roman"/>
          <w:b/>
          <w:bCs/>
          <w:lang w:val="en-US"/>
        </w:rPr>
        <w:t>Table 1</w:t>
      </w:r>
      <w:r w:rsidRPr="00633C86">
        <w:rPr>
          <w:rFonts w:ascii="Times New Roman" w:hAnsi="Times New Roman" w:cs="Times New Roman"/>
          <w:lang w:val="en-US"/>
        </w:rPr>
        <w:t xml:space="preserve"> The association between “glycolytic dysfunction” and measures of diabetic neuropathy.</w:t>
      </w:r>
    </w:p>
    <w:tbl>
      <w:tblPr>
        <w:tblStyle w:val="Lysskygge-markeringsfarve11"/>
        <w:tblW w:w="5000" w:type="pct"/>
        <w:tblLook w:val="0660" w:firstRow="1" w:lastRow="1" w:firstColumn="0" w:lastColumn="0" w:noHBand="1" w:noVBand="1"/>
      </w:tblPr>
      <w:tblGrid>
        <w:gridCol w:w="2409"/>
        <w:gridCol w:w="2409"/>
        <w:gridCol w:w="2410"/>
        <w:gridCol w:w="2410"/>
      </w:tblGrid>
      <w:tr w:rsidR="00323502" w:rsidRPr="00633C86" w14:paraId="608CC1FD" w14:textId="77777777" w:rsidTr="00E633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50" w:type="pct"/>
            <w:noWrap/>
          </w:tcPr>
          <w:p w14:paraId="4F176D06" w14:textId="77777777" w:rsidR="00323502" w:rsidRPr="00633C86" w:rsidRDefault="00323502" w:rsidP="00E6336D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1250" w:type="pct"/>
          </w:tcPr>
          <w:p w14:paraId="50BE7125" w14:textId="77777777" w:rsidR="00323502" w:rsidRPr="00633C86" w:rsidRDefault="00323502" w:rsidP="00E6336D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lang w:val="en-US"/>
              </w:rPr>
              <w:t>Model 1</w:t>
            </w:r>
          </w:p>
        </w:tc>
        <w:tc>
          <w:tcPr>
            <w:tcW w:w="1250" w:type="pct"/>
          </w:tcPr>
          <w:p w14:paraId="35077CD9" w14:textId="77777777" w:rsidR="00323502" w:rsidRPr="00633C86" w:rsidRDefault="00323502" w:rsidP="00E6336D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lang w:val="en-US"/>
              </w:rPr>
              <w:t xml:space="preserve">Model 2 </w:t>
            </w:r>
          </w:p>
        </w:tc>
        <w:tc>
          <w:tcPr>
            <w:tcW w:w="1250" w:type="pct"/>
          </w:tcPr>
          <w:p w14:paraId="7B4D5397" w14:textId="77777777" w:rsidR="00323502" w:rsidRPr="00633C86" w:rsidRDefault="00323502" w:rsidP="00E6336D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lang w:val="en-US"/>
              </w:rPr>
              <w:t>Model 3</w:t>
            </w:r>
          </w:p>
        </w:tc>
      </w:tr>
      <w:tr w:rsidR="00323502" w:rsidRPr="00633C86" w14:paraId="10B4B236" w14:textId="77777777" w:rsidTr="00E6336D">
        <w:tc>
          <w:tcPr>
            <w:tcW w:w="1250" w:type="pct"/>
            <w:noWrap/>
          </w:tcPr>
          <w:p w14:paraId="12FAE3C0" w14:textId="77777777" w:rsidR="00323502" w:rsidRPr="00633C86" w:rsidRDefault="00323502" w:rsidP="00E6336D">
            <w:pPr>
              <w:spacing w:line="360" w:lineRule="auto"/>
              <w:rPr>
                <w:rStyle w:val="Svagfremhvning"/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250" w:type="pct"/>
          </w:tcPr>
          <w:p w14:paraId="3DFFF240" w14:textId="77777777" w:rsidR="00323502" w:rsidRPr="00633C86" w:rsidRDefault="00323502" w:rsidP="00E6336D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250" w:type="pct"/>
          </w:tcPr>
          <w:p w14:paraId="1EFD4F41" w14:textId="77777777" w:rsidR="00323502" w:rsidRPr="00633C86" w:rsidRDefault="00323502" w:rsidP="00E6336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250" w:type="pct"/>
          </w:tcPr>
          <w:p w14:paraId="76D62775" w14:textId="77777777" w:rsidR="00323502" w:rsidRPr="00633C86" w:rsidRDefault="00323502" w:rsidP="00E6336D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</w:tr>
      <w:tr w:rsidR="00323502" w:rsidRPr="00633C86" w14:paraId="2E1F2F95" w14:textId="77777777" w:rsidTr="00E6336D">
        <w:tc>
          <w:tcPr>
            <w:tcW w:w="1250" w:type="pct"/>
            <w:noWrap/>
          </w:tcPr>
          <w:p w14:paraId="7F257B15" w14:textId="77777777" w:rsidR="00323502" w:rsidRPr="00633C86" w:rsidRDefault="00323502" w:rsidP="00E6336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  <w:t>CAN measures</w:t>
            </w:r>
          </w:p>
          <w:p w14:paraId="5BEFE10B" w14:textId="77777777" w:rsidR="00323502" w:rsidRPr="00633C86" w:rsidRDefault="00323502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Heart rate</w:t>
            </w:r>
          </w:p>
          <w:p w14:paraId="1C994C1F" w14:textId="77777777" w:rsidR="00323502" w:rsidRPr="00633C86" w:rsidRDefault="00323502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Lying to standing (30:15)</w:t>
            </w:r>
          </w:p>
          <w:p w14:paraId="400A1508" w14:textId="77777777" w:rsidR="00323502" w:rsidRPr="00633C86" w:rsidRDefault="00323502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Deep breathing (E/I)</w:t>
            </w:r>
          </w:p>
          <w:p w14:paraId="5DD5B097" w14:textId="77777777" w:rsidR="00323502" w:rsidRPr="00633C86" w:rsidRDefault="00323502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Valsalva Maneuver (VM)</w:t>
            </w:r>
          </w:p>
          <w:p w14:paraId="69E48524" w14:textId="77777777" w:rsidR="00323502" w:rsidRPr="00633C86" w:rsidRDefault="00323502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SDNN</w:t>
            </w:r>
          </w:p>
          <w:p w14:paraId="7ED4B2AE" w14:textId="77777777" w:rsidR="00323502" w:rsidRPr="00633C86" w:rsidRDefault="00323502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RMSSD</w:t>
            </w:r>
          </w:p>
          <w:p w14:paraId="40D7C009" w14:textId="77777777" w:rsidR="00323502" w:rsidRPr="00633C86" w:rsidRDefault="00323502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LF</w:t>
            </w:r>
          </w:p>
          <w:p w14:paraId="2FEEF8CE" w14:textId="77777777" w:rsidR="00323502" w:rsidRPr="00633C86" w:rsidRDefault="00323502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HF</w:t>
            </w:r>
          </w:p>
          <w:p w14:paraId="7DCBC103" w14:textId="77777777" w:rsidR="00323502" w:rsidRPr="00633C86" w:rsidRDefault="00323502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LF/HF ratio</w:t>
            </w:r>
          </w:p>
          <w:p w14:paraId="0CB8898D" w14:textId="77777777" w:rsidR="00323502" w:rsidRPr="00633C86" w:rsidRDefault="00323502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Total</w:t>
            </w:r>
          </w:p>
          <w:p w14:paraId="1E81AAA2" w14:textId="77777777" w:rsidR="00323502" w:rsidRPr="00633C86" w:rsidRDefault="00323502" w:rsidP="00E6336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  <w:t>DSPN Measures</w:t>
            </w:r>
          </w:p>
          <w:p w14:paraId="6F7BDC78" w14:textId="77777777" w:rsidR="00323502" w:rsidRPr="00633C86" w:rsidRDefault="00323502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VPT</w:t>
            </w:r>
          </w:p>
          <w:p w14:paraId="7DC5DCB4" w14:textId="77777777" w:rsidR="00323502" w:rsidRPr="00633C86" w:rsidRDefault="00323502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SNAP</w:t>
            </w:r>
          </w:p>
          <w:p w14:paraId="2AB0E1FF" w14:textId="77777777" w:rsidR="00323502" w:rsidRPr="00633C86" w:rsidRDefault="00323502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SNCV</w:t>
            </w:r>
          </w:p>
          <w:p w14:paraId="5EDAD02C" w14:textId="77777777" w:rsidR="00323502" w:rsidRPr="00633C86" w:rsidRDefault="00323502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ESC – hands</w:t>
            </w:r>
          </w:p>
          <w:p w14:paraId="0B710E57" w14:textId="77777777" w:rsidR="00323502" w:rsidRPr="00633C86" w:rsidRDefault="00323502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ESC - feet</w:t>
            </w:r>
          </w:p>
        </w:tc>
        <w:tc>
          <w:tcPr>
            <w:tcW w:w="1250" w:type="pct"/>
          </w:tcPr>
          <w:p w14:paraId="0B3FD7BB" w14:textId="77777777" w:rsidR="00323502" w:rsidRPr="00633C86" w:rsidRDefault="00323502" w:rsidP="00E6336D">
            <w:pPr>
              <w:pStyle w:val="DecimalAligned"/>
              <w:spacing w:line="36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0.23 (-0.80;1.25)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-0.00 (-0.02:0.02)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0.03 (0.01;0.</w:t>
            </w:r>
            <w:proofErr w:type="gramStart"/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04)*</w:t>
            </w:r>
            <w:proofErr w:type="gramEnd"/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0.00 ( -0.03;0.03)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-0.39 (-4.19;3.56)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  -0.60 (-5.61;4.67)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-0.86 (-9.98;9.18)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-1.32 (-10.13;8.36)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  0.46 (-5.35;6.63)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-0.42 (-8.33:8.18)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4.19 (1.41;7.04)*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-2.11 (-5.30;1.18)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0.02 (-0.34;0.38)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-0.34 (-1.31;0.65)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0.22 (-0.50;0.95)</w:t>
            </w:r>
          </w:p>
        </w:tc>
        <w:tc>
          <w:tcPr>
            <w:tcW w:w="1250" w:type="pct"/>
          </w:tcPr>
          <w:p w14:paraId="2B43D649" w14:textId="77777777" w:rsidR="00323502" w:rsidRPr="00633C86" w:rsidRDefault="00323502" w:rsidP="00E6336D">
            <w:pPr>
              <w:pStyle w:val="DecimalAligned"/>
              <w:spacing w:line="36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/>
                <w:b/>
                <w:bCs/>
                <w:color w:val="auto"/>
                <w:sz w:val="20"/>
                <w:szCs w:val="20"/>
                <w:lang w:val="en-US"/>
              </w:rPr>
              <w:t>Estimate (95% CI)</w:t>
            </w:r>
            <w:r w:rsidRPr="00633C86">
              <w:rPr>
                <w:rFonts w:ascii="Times New Roman" w:hAnsi="Times New Roman"/>
                <w:b/>
                <w:bCs/>
                <w:color w:val="auto"/>
                <w:sz w:val="20"/>
                <w:szCs w:val="20"/>
                <w:lang w:val="en-US"/>
              </w:rPr>
              <w:br/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-0.02 (-1.06;1.02)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0.00 (-0.02;0.02)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0.03 (0.01;0.</w:t>
            </w:r>
            <w:proofErr w:type="gramStart"/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04)*</w:t>
            </w:r>
            <w:proofErr w:type="gramEnd"/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0.00 ( -0.03;0.03)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  1.22 (-2.51;5.08)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1.13 (-3.90;6.42)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3.01 (-6.26;13.20)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1.96 (-6.97;11.75)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1.03 (-4.99;7.44)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2.76 (-5.16;11.33)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4.60 (1.73;7.55)*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-0.92 (-4.18;2.45)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0.14 (-0.20;0.49)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   -0.39 (-1.39;0.62)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0.30 (-0.45;1.06)</w:t>
            </w:r>
          </w:p>
        </w:tc>
        <w:tc>
          <w:tcPr>
            <w:tcW w:w="1250" w:type="pct"/>
          </w:tcPr>
          <w:p w14:paraId="64806E95" w14:textId="77777777" w:rsidR="00323502" w:rsidRPr="00633C86" w:rsidRDefault="00323502" w:rsidP="00E6336D">
            <w:pPr>
              <w:pStyle w:val="DecimalAligned"/>
              <w:spacing w:line="36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-0.10 (-1.13;0.93)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0.00 (-0.02;0.02)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</w:r>
            <w:bookmarkStart w:id="0" w:name="_Hlk70529770"/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0.03 (0.01;0.</w:t>
            </w:r>
            <w:proofErr w:type="gramStart"/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05)</w:t>
            </w:r>
            <w:bookmarkEnd w:id="0"/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*</w:t>
            </w:r>
            <w:proofErr w:type="gramEnd"/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0.00 (-0.02;0.03)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1.77 (-1.95;5.62)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2.20 (-2.80;7.46)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4.07 (-5.19;14.23)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4.25 (-4.76;14.11)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-0.17 (-6.05; 6.07)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3.76 (-4.19;12.36)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4.14 (1.31;7.04)*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1.00 (-4.26;2.37)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0.18 (-0.17;0.52)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-0.33 (-1.33;0.68)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0.28 (-0.47;1.03)</w:t>
            </w:r>
          </w:p>
        </w:tc>
      </w:tr>
      <w:tr w:rsidR="00323502" w:rsidRPr="001925AF" w14:paraId="7C7FFFA4" w14:textId="77777777" w:rsidTr="00E6336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  <w:gridSpan w:val="4"/>
            <w:noWrap/>
          </w:tcPr>
          <w:p w14:paraId="7D713EB7" w14:textId="3C3942BC" w:rsidR="00323502" w:rsidRPr="00633C86" w:rsidRDefault="00323502" w:rsidP="00E6336D">
            <w:pPr>
              <w:pStyle w:val="DecimalAligned"/>
              <w:jc w:val="both"/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</w:pP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 xml:space="preserve">Results are presented as estimates. Estimates show the percentage change in the outcomes for every 1-unit change of “glycolytic dysfunction” </w:t>
            </w:r>
            <w:r w:rsidRPr="00633C86">
              <w:rPr>
                <w:rFonts w:ascii="Times New Roman" w:hAnsi="Times New Roman"/>
                <w:b w:val="0"/>
                <w:bCs w:val="0"/>
                <w:color w:val="auto"/>
                <w:sz w:val="18"/>
                <w:szCs w:val="18"/>
                <w:lang w:val="en-US"/>
              </w:rPr>
              <w:t>((% change (95% CI)).</w:t>
            </w:r>
            <w:r w:rsidRPr="00633C86"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  <w:br/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>Model 1 adjusted for age and gender, model 2 adjusted as model 1 + diabetes duration and HbA</w:t>
            </w:r>
            <w:r w:rsidRPr="00994E49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vertAlign w:val="subscript"/>
                <w:lang w:val="en-US"/>
              </w:rPr>
              <w:t>1c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>, model 3 adjusted as model 2 + current smoking, total cholesterol, triglycerides, systolic blood pressure and the use of beta blockers.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br/>
              <w:t xml:space="preserve">CAN, cardiovascular autonomic neuropathy; </w:t>
            </w:r>
            <w:r w:rsidR="001925AF" w:rsidRPr="001925AF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 xml:space="preserve">HR, heart rate; 30:15, lying-to-standing test; E:I, deep breathing test; VM, Valsalva </w:t>
            </w:r>
            <w:proofErr w:type="spellStart"/>
            <w:r w:rsidR="001925AF" w:rsidRPr="001925AF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>Manoeuvre</w:t>
            </w:r>
            <w:proofErr w:type="spellEnd"/>
            <w:r w:rsidR="001925AF">
              <w:rPr>
                <w:rFonts w:ascii="Times New Roman" w:hAnsi="Times New Roman"/>
                <w:i/>
                <w:iCs/>
                <w:color w:val="auto"/>
                <w:sz w:val="18"/>
                <w:szCs w:val="18"/>
                <w:lang w:val="en-US"/>
              </w:rPr>
              <w:t xml:space="preserve">; 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>SDNN, standard deviation of normal-to-normal intervals; RMSSD, root mean square of the sum of the squares of differences between consecutive R-R intervals; LF, low-frequency power; HF, high-frequency power; DSPN, distal symmetric polyneuropathy; VPT, vibration perception threshold; SNAP, sural nerve amplitude potential; SNCV, sural nerve conduction velocity; ESC, electrochemical skin conduction.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br/>
              <w:t>*P &lt; 0.05.</w:t>
            </w:r>
          </w:p>
        </w:tc>
      </w:tr>
    </w:tbl>
    <w:p w14:paraId="557F3EDF" w14:textId="77777777" w:rsidR="00323502" w:rsidRPr="00633C86" w:rsidRDefault="00323502" w:rsidP="00323502">
      <w:pPr>
        <w:spacing w:line="360" w:lineRule="auto"/>
        <w:rPr>
          <w:rFonts w:ascii="Times New Roman" w:hAnsi="Times New Roman" w:cs="Times New Roman"/>
          <w:lang w:val="en-US"/>
        </w:rPr>
      </w:pPr>
    </w:p>
    <w:p w14:paraId="0D9BDA70" w14:textId="77777777" w:rsidR="00323502" w:rsidRPr="00633C86" w:rsidRDefault="00323502" w:rsidP="00323502">
      <w:pPr>
        <w:spacing w:line="360" w:lineRule="auto"/>
        <w:rPr>
          <w:rFonts w:ascii="Times New Roman" w:hAnsi="Times New Roman" w:cs="Times New Roman"/>
          <w:lang w:val="en-US"/>
        </w:rPr>
      </w:pPr>
    </w:p>
    <w:p w14:paraId="48B4A6A0" w14:textId="77777777" w:rsidR="001D4850" w:rsidRPr="001925AF" w:rsidRDefault="001D4850">
      <w:pPr>
        <w:rPr>
          <w:lang w:val="en-US"/>
        </w:rPr>
      </w:pPr>
    </w:p>
    <w:sectPr w:rsidR="001D4850" w:rsidRPr="001925A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02"/>
    <w:rsid w:val="001925AF"/>
    <w:rsid w:val="001D4850"/>
    <w:rsid w:val="002913AB"/>
    <w:rsid w:val="002D4077"/>
    <w:rsid w:val="0032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AD9C9"/>
  <w15:chartTrackingRefBased/>
  <w15:docId w15:val="{FD1ADA1B-F6F5-4DEE-8B74-8C92FD45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502"/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DecimalAligned">
    <w:name w:val="Decimal Aligned"/>
    <w:basedOn w:val="Normal"/>
    <w:uiPriority w:val="40"/>
    <w:qFormat/>
    <w:rsid w:val="00323502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da-DK"/>
    </w:rPr>
  </w:style>
  <w:style w:type="character" w:styleId="Svagfremhvning">
    <w:name w:val="Subtle Emphasis"/>
    <w:basedOn w:val="Standardskrifttypeiafsnit"/>
    <w:uiPriority w:val="19"/>
    <w:qFormat/>
    <w:rsid w:val="00323502"/>
    <w:rPr>
      <w:i/>
      <w:iCs/>
    </w:rPr>
  </w:style>
  <w:style w:type="table" w:customStyle="1" w:styleId="Lysskygge-markeringsfarve11">
    <w:name w:val="Lys skygge - markeringsfarve 11"/>
    <w:basedOn w:val="Tabel-Normal"/>
    <w:uiPriority w:val="60"/>
    <w:rsid w:val="00323502"/>
    <w:pPr>
      <w:spacing w:after="0" w:line="240" w:lineRule="auto"/>
    </w:pPr>
    <w:rPr>
      <w:rFonts w:eastAsiaTheme="minorEastAsia"/>
      <w:color w:val="2F5496" w:themeColor="accent1" w:themeShade="BF"/>
      <w:lang w:eastAsia="da-DK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Elaf Fadhil Al-Saoudi</dc:creator>
  <cp:keywords/>
  <dc:description/>
  <cp:lastModifiedBy>Elaf Fadhil Al-Saoudi</cp:lastModifiedBy>
  <cp:revision>2</cp:revision>
  <dcterms:created xsi:type="dcterms:W3CDTF">2022-10-05T10:49:00Z</dcterms:created>
  <dcterms:modified xsi:type="dcterms:W3CDTF">2022-10-05T10:51:00Z</dcterms:modified>
</cp:coreProperties>
</file>